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ANEXO 5 – Edital nº 03/2025 – Doutorado</w:t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Programa de Pós-Graduação em Arquitetura e Urbanismo e Design (PPGAU+D)</w:t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0"/>
          <w:sz w:val="20"/>
          <w:szCs w:val="22"/>
          <w:vertAlign w:val="baseline"/>
        </w:rPr>
        <w:t>Declaração para candidatos a vagas TAES</w:t>
      </w:r>
    </w:p>
    <w:p>
      <w:pPr>
        <w:pStyle w:val="Standard"/>
        <w:spacing w:lineRule="auto" w:line="240" w:before="240" w:after="120"/>
        <w:ind w:left="0" w:hanging="2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0" w:hanging="2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Declaro, para fins de comprovação no Processo Seletivo do curso de Doutorado do PPGAU+D-UFC que (</w:t>
      </w:r>
      <w:r>
        <w:rPr>
          <w:rFonts w:cs="Helvetica" w:ascii="Helvetica" w:hAnsi="Helvetica"/>
          <w:color w:val="C9211E"/>
          <w:position w:val="0"/>
          <w:sz w:val="20"/>
          <w:sz w:val="20"/>
          <w:szCs w:val="20"/>
          <w:vertAlign w:val="baseline"/>
        </w:rPr>
        <w:t>nome do candidato/SIAPE</w:t>
      </w: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) consta no quadro de servidores da Unidade (</w:t>
      </w:r>
      <w:r>
        <w:rPr>
          <w:rFonts w:cs="Helvetica" w:ascii="Helvetica" w:hAnsi="Helvetica"/>
          <w:color w:val="C9211E"/>
          <w:position w:val="0"/>
          <w:sz w:val="20"/>
          <w:sz w:val="20"/>
          <w:szCs w:val="20"/>
          <w:vertAlign w:val="baseline"/>
        </w:rPr>
        <w:t>nome da unidade acadêmica/administrativa</w:t>
      </w: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 xml:space="preserve">) como Técnico Administrativo vinculado à UFC e exerce funções relacionadas à Arquitetura, Urbanismo e Design e áreas afins, </w:t>
      </w:r>
      <w:r>
        <w:rPr>
          <w:rFonts w:eastAsia="Palatino Linotype" w:cs="Helvetica" w:ascii="Helvetica" w:hAnsi="Helvetica"/>
          <w:position w:val="0"/>
          <w:sz w:val="20"/>
          <w:sz w:val="20"/>
          <w:szCs w:val="20"/>
          <w:vertAlign w:val="baseline"/>
        </w:rPr>
        <w:t>de acordo com Portaria 10/PRPPG/UFC, de 09 de abril de 2025</w:t>
      </w: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.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Declaro ainda ter ciência, que, caso aprovado no processo seletivo do Curso de Doutorado referente ao Edital nº 03/2025- PPGAU+D/IAUD/UFC, o servidor em questão deverá solicitar liberação formal desta unidade antes do ingresso como discente.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Assinatura da Diretoria da Unidade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239489218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672076305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val="pt-BR" w:eastAsia="zh-CN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LibreOffice/7.2.5.2$Windows_X86_64 LibreOffice_project/499f9727c189e6ef3471021d6132d4c694f357e5</Application>
  <AppVersion>15.0000</AppVersion>
  <Pages>1</Pages>
  <Words>170</Words>
  <Characters>990</Characters>
  <CharactersWithSpaces>1424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2025-04-22T11:11:00Z</dcterms:created>
  <dc:creator>Dell</dc:creator>
  <dc:description/>
  <dc:language>pt-BR</dc:language>
  <cp:lastModifiedBy/>
  <cp:lastPrinted>2023-11-14T00:23:00Z</cp:lastPrinted>
  <dcterms:modified xsi:type="dcterms:W3CDTF">2025-04-29T11:19:25Z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b88cf5a9c4d0721c7eda17528448e4500aff84c9b27fd6188efc67594354c4a4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